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1B" w:rsidRPr="00173449" w:rsidRDefault="0000771B" w:rsidP="00173449">
      <w:pPr>
        <w:pStyle w:val="Recuodecorpodetexto"/>
        <w:spacing w:line="276" w:lineRule="auto"/>
        <w:ind w:left="0" w:firstLine="0"/>
        <w:rPr>
          <w:rFonts w:ascii="Palatino Linotype" w:hAnsi="Palatino Linotype"/>
          <w:szCs w:val="24"/>
        </w:rPr>
      </w:pPr>
    </w:p>
    <w:p w:rsidR="00FF25FA" w:rsidRPr="00173449" w:rsidRDefault="0000771B" w:rsidP="00173449">
      <w:pPr>
        <w:pStyle w:val="Recuodecorpodetexto"/>
        <w:spacing w:line="276" w:lineRule="auto"/>
        <w:ind w:left="2268" w:firstLine="0"/>
        <w:rPr>
          <w:rFonts w:ascii="Palatino Linotype" w:hAnsi="Palatino Linotype"/>
          <w:szCs w:val="24"/>
        </w:rPr>
      </w:pPr>
      <w:r w:rsidRPr="00173449">
        <w:rPr>
          <w:rFonts w:ascii="Palatino Linotype" w:hAnsi="Palatino Linotype"/>
          <w:szCs w:val="24"/>
        </w:rPr>
        <w:t xml:space="preserve">QUARTO </w:t>
      </w:r>
      <w:r w:rsidR="00FF25FA" w:rsidRPr="00173449">
        <w:rPr>
          <w:rFonts w:ascii="Palatino Linotype" w:hAnsi="Palatino Linotype"/>
          <w:szCs w:val="24"/>
        </w:rPr>
        <w:t xml:space="preserve">TERMO DE CONVÊNIO QUE ENTRE SI CELEBRAM O MUNICÍPIO DE CONQUISTA E A SANTA CASA DE MISERICÓRDIA DE CONQUISTA/MG. </w:t>
      </w:r>
    </w:p>
    <w:p w:rsidR="00FF25FA" w:rsidRPr="00173449" w:rsidRDefault="00FF25FA" w:rsidP="00173449">
      <w:pPr>
        <w:spacing w:line="276" w:lineRule="auto"/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Pelo presente instrumento de Termo de Convênio, de um lado o </w:t>
      </w:r>
      <w:r w:rsidRPr="00173449">
        <w:rPr>
          <w:rFonts w:ascii="Palatino Linotype" w:hAnsi="Palatino Linotype"/>
          <w:b/>
          <w:sz w:val="24"/>
          <w:szCs w:val="24"/>
        </w:rPr>
        <w:t>MUNICÍPIO</w:t>
      </w:r>
      <w:r w:rsidRPr="00173449">
        <w:rPr>
          <w:rFonts w:ascii="Palatino Linotype" w:hAnsi="Palatino Linotype"/>
          <w:sz w:val="24"/>
          <w:szCs w:val="24"/>
        </w:rPr>
        <w:t xml:space="preserve"> </w:t>
      </w:r>
      <w:r w:rsidRPr="00173449">
        <w:rPr>
          <w:rFonts w:ascii="Palatino Linotype" w:hAnsi="Palatino Linotype"/>
          <w:b/>
          <w:sz w:val="24"/>
          <w:szCs w:val="24"/>
        </w:rPr>
        <w:t>DE</w:t>
      </w:r>
      <w:r w:rsidRPr="00173449">
        <w:rPr>
          <w:rFonts w:ascii="Palatino Linotype" w:hAnsi="Palatino Linotype"/>
          <w:sz w:val="24"/>
          <w:szCs w:val="24"/>
        </w:rPr>
        <w:t xml:space="preserve"> </w:t>
      </w:r>
      <w:r w:rsidRPr="00173449">
        <w:rPr>
          <w:rFonts w:ascii="Palatino Linotype" w:hAnsi="Palatino Linotype"/>
          <w:b/>
          <w:sz w:val="24"/>
          <w:szCs w:val="24"/>
        </w:rPr>
        <w:t>CONQUISTA</w:t>
      </w:r>
      <w:r w:rsidRPr="00173449">
        <w:rPr>
          <w:rFonts w:ascii="Palatino Linotype" w:hAnsi="Palatino Linotype"/>
          <w:sz w:val="24"/>
          <w:szCs w:val="24"/>
        </w:rPr>
        <w:t>, Estado de Minas Gerais, inscrito no CNPJ sob o nº 18.428.888/0001-23, com sede na Praça Coronel Tancredo França, nº 181, Centro, CEP: 38.195-000, nesta cidade de Conquista, Estado de Minas Gerais, neste ato representado por sua Secretária de Saúde, Sra.</w:t>
      </w:r>
      <w:r w:rsidRPr="00173449">
        <w:rPr>
          <w:rFonts w:ascii="Palatino Linotype" w:hAnsi="Palatino Linotype"/>
          <w:b/>
          <w:sz w:val="24"/>
          <w:szCs w:val="24"/>
        </w:rPr>
        <w:t xml:space="preserve"> VALDILENE ROCHA C. ALVES</w:t>
      </w:r>
      <w:r w:rsidRPr="00173449">
        <w:rPr>
          <w:rFonts w:ascii="Palatino Linotype" w:hAnsi="Palatino Linotype"/>
          <w:sz w:val="24"/>
          <w:szCs w:val="24"/>
        </w:rPr>
        <w:t>, brasileira, casada, enfermeira, inscrita no CPF sob o nº 985.308.953.04</w:t>
      </w:r>
      <w:r w:rsidRPr="00173449">
        <w:rPr>
          <w:rFonts w:ascii="Palatino Linotype" w:hAnsi="Palatino Linotype" w:cs="Arial"/>
          <w:sz w:val="24"/>
          <w:szCs w:val="24"/>
        </w:rPr>
        <w:t xml:space="preserve"> </w:t>
      </w:r>
      <w:r w:rsidRPr="00173449">
        <w:rPr>
          <w:rFonts w:ascii="Palatino Linotype" w:hAnsi="Palatino Linotype"/>
          <w:sz w:val="24"/>
          <w:szCs w:val="24"/>
        </w:rPr>
        <w:t xml:space="preserve">e no RG sob o nº MG- 21.331.850 SSP/MG, residente e domiciliada nesta cidade de Conquista, Estado de Minas Gerais, CEP 38.195-000, aqui denominado </w:t>
      </w:r>
      <w:r w:rsidRPr="00173449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173449">
        <w:rPr>
          <w:rFonts w:ascii="Palatino Linotype" w:hAnsi="Palatino Linotype"/>
          <w:sz w:val="24"/>
          <w:szCs w:val="24"/>
        </w:rPr>
        <w:t xml:space="preserve">e do outro lado, a </w:t>
      </w:r>
      <w:r w:rsidRPr="00173449">
        <w:rPr>
          <w:rFonts w:ascii="Palatino Linotype" w:hAnsi="Palatino Linotype"/>
          <w:b/>
          <w:sz w:val="24"/>
          <w:szCs w:val="24"/>
        </w:rPr>
        <w:t>SANTA CASA DE MISERICÓRDIA DE CONQUISTA/MG</w:t>
      </w:r>
      <w:r w:rsidRPr="00173449">
        <w:rPr>
          <w:rFonts w:ascii="Palatino Linotype" w:hAnsi="Palatino Linotype"/>
          <w:sz w:val="24"/>
          <w:szCs w:val="24"/>
        </w:rPr>
        <w:t xml:space="preserve">, inscrita no CNPJ sob o nº 19.702.927/0001-00, estabelecido na Av. Juquinha Mendonça, nº 319, Centro, CEP: 38.195-000, nesta cidade de Conquista, Estado de Minas Gerais, neste ato representada por sua Provedora, Sra. </w:t>
      </w:r>
      <w:r w:rsidRPr="00173449">
        <w:rPr>
          <w:rFonts w:ascii="Palatino Linotype" w:hAnsi="Palatino Linotype"/>
          <w:b/>
          <w:sz w:val="24"/>
          <w:szCs w:val="24"/>
        </w:rPr>
        <w:t>DAYANE CRISTINA DE ANDRADE</w:t>
      </w:r>
      <w:r w:rsidRPr="00173449">
        <w:rPr>
          <w:rFonts w:ascii="Palatino Linotype" w:hAnsi="Palatino Linotype"/>
          <w:sz w:val="24"/>
          <w:szCs w:val="24"/>
        </w:rPr>
        <w:t xml:space="preserve">, brasileira, assistente social, inscrita no RG sob o nº MG – 14.039.741 SSP/MG e no CPF sob o nº 071.782.306-73, residente e domiciliada nesta cidade de Conquista, Estado de Minas Gerais, aqui denominada </w:t>
      </w:r>
      <w:r w:rsidRPr="00173449">
        <w:rPr>
          <w:rFonts w:ascii="Palatino Linotype" w:hAnsi="Palatino Linotype"/>
          <w:b/>
          <w:sz w:val="24"/>
          <w:szCs w:val="24"/>
        </w:rPr>
        <w:t xml:space="preserve">SANTA CASA, </w:t>
      </w:r>
      <w:r w:rsidRPr="00173449">
        <w:rPr>
          <w:rFonts w:ascii="Palatino Linotype" w:hAnsi="Palatino Linotype"/>
          <w:sz w:val="24"/>
          <w:szCs w:val="24"/>
        </w:rPr>
        <w:t>têm entre si justo e contratado o que se segue:</w:t>
      </w: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lastRenderedPageBreak/>
        <w:t>CLÁUSULA 1ª – DO OBJETO</w:t>
      </w:r>
    </w:p>
    <w:p w:rsidR="00FF25FA" w:rsidRPr="00173449" w:rsidRDefault="00FF25FA" w:rsidP="00173449">
      <w:pPr>
        <w:spacing w:line="276" w:lineRule="auto"/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uppressAutoHyphens/>
        <w:spacing w:line="276" w:lineRule="auto"/>
        <w:ind w:firstLine="709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/>
          <w:b/>
          <w:sz w:val="24"/>
          <w:szCs w:val="24"/>
        </w:rPr>
        <w:t xml:space="preserve">1.1 - </w:t>
      </w:r>
      <w:r w:rsidRPr="00173449">
        <w:rPr>
          <w:rFonts w:ascii="Palatino Linotype" w:hAnsi="Palatino Linotype"/>
          <w:sz w:val="24"/>
          <w:szCs w:val="24"/>
        </w:rPr>
        <w:t>O presente termo tem por finalidade</w:t>
      </w:r>
      <w:r w:rsidR="000C789D" w:rsidRPr="00173449">
        <w:rPr>
          <w:rFonts w:ascii="Palatino Linotype" w:hAnsi="Palatino Linotype"/>
          <w:sz w:val="24"/>
          <w:szCs w:val="24"/>
        </w:rPr>
        <w:t xml:space="preserve"> a </w:t>
      </w:r>
      <w:r w:rsidR="000C789D"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Celebração de Convênio com pessoa jurídica sem fins lucrativos para complementação dos serviços de saúde ofertados pelo Sistema Único de Saúde, abrangendo procedimentos </w:t>
      </w:r>
      <w:r w:rsidR="000C789D" w:rsidRPr="00173449">
        <w:rPr>
          <w:rFonts w:ascii="Palatino Linotype" w:hAnsi="Palatino Linotype" w:cs="Calibri"/>
          <w:kern w:val="28"/>
          <w:sz w:val="24"/>
          <w:szCs w:val="24"/>
        </w:rPr>
        <w:t>na modalidade de Média Complexidade Hospitalar Básica (MCHB</w:t>
      </w:r>
      <w:r w:rsidR="000C789D" w:rsidRPr="00173449">
        <w:rPr>
          <w:rFonts w:ascii="Palatino Linotype" w:hAnsi="Palatino Linotype" w:cs="Calibri"/>
          <w:sz w:val="24"/>
          <w:szCs w:val="24"/>
          <w:lang w:eastAsia="ar-SA"/>
        </w:rPr>
        <w:t>), e urgência e emergência,</w:t>
      </w:r>
      <w:r w:rsidR="000C789D" w:rsidRPr="00173449">
        <w:rPr>
          <w:rFonts w:ascii="Palatino Linotype" w:hAnsi="Palatino Linotype" w:cs="Calibri"/>
          <w:kern w:val="28"/>
          <w:sz w:val="24"/>
          <w:szCs w:val="24"/>
        </w:rPr>
        <w:t xml:space="preserve"> objetivando garantir a cobertura assistencial da população, </w:t>
      </w:r>
      <w:r w:rsidR="00147DFC" w:rsidRPr="00173449">
        <w:rPr>
          <w:rFonts w:ascii="Palatino Linotype" w:hAnsi="Palatino Linotype" w:cs="Calibri"/>
          <w:kern w:val="28"/>
          <w:sz w:val="24"/>
          <w:szCs w:val="24"/>
        </w:rPr>
        <w:t>a</w:t>
      </w:r>
      <w:r w:rsidR="00147DFC" w:rsidRPr="00173449">
        <w:rPr>
          <w:rFonts w:ascii="Palatino Linotype" w:hAnsi="Palatino Linotype" w:cs="Calibri"/>
          <w:sz w:val="24"/>
          <w:szCs w:val="24"/>
          <w:lang w:eastAsia="ar-SA"/>
        </w:rPr>
        <w:t>lém dos serviços de a</w:t>
      </w:r>
      <w:r w:rsidR="000C789D" w:rsidRPr="00173449">
        <w:rPr>
          <w:rFonts w:ascii="Palatino Linotype" w:hAnsi="Palatino Linotype" w:cs="Calibri"/>
          <w:sz w:val="24"/>
          <w:szCs w:val="24"/>
          <w:lang w:eastAsia="ar-SA"/>
        </w:rPr>
        <w:t>tendimento na Atenção Básica, nas especialidades de ginecologia e pediatria pa</w:t>
      </w:r>
      <w:r w:rsidR="00147DFC" w:rsidRPr="00173449">
        <w:rPr>
          <w:rFonts w:ascii="Palatino Linotype" w:hAnsi="Palatino Linotype" w:cs="Calibri"/>
          <w:sz w:val="24"/>
          <w:szCs w:val="24"/>
          <w:lang w:eastAsia="ar-SA"/>
        </w:rPr>
        <w:t>ra prestar m</w:t>
      </w:r>
      <w:r w:rsidR="000C789D" w:rsidRPr="00173449">
        <w:rPr>
          <w:rFonts w:ascii="Palatino Linotype" w:hAnsi="Palatino Linotype" w:cs="Calibri"/>
          <w:sz w:val="24"/>
          <w:szCs w:val="24"/>
          <w:lang w:eastAsia="ar-SA"/>
        </w:rPr>
        <w:t>atriciamento nas Unidades de Saúde do Município</w:t>
      </w:r>
      <w:r w:rsidR="00147DFC"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, e </w:t>
      </w:r>
      <w:r w:rsidR="00147DFC" w:rsidRPr="00173449">
        <w:rPr>
          <w:rFonts w:ascii="Palatino Linotype" w:hAnsi="Palatino Linotype" w:cs="Calibri"/>
          <w:kern w:val="28"/>
          <w:sz w:val="24"/>
          <w:szCs w:val="24"/>
        </w:rPr>
        <w:t>mediante a</w:t>
      </w:r>
      <w:r w:rsidR="00147DFC"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 disponibilização dos seguintes serviços</w:t>
      </w:r>
      <w:r w:rsidRPr="00173449">
        <w:rPr>
          <w:rFonts w:ascii="Palatino Linotype" w:hAnsi="Palatino Linotype" w:cs="Verdana"/>
          <w:sz w:val="24"/>
          <w:szCs w:val="24"/>
          <w:lang w:eastAsia="ar-SA"/>
        </w:rPr>
        <w:t>:</w:t>
      </w:r>
    </w:p>
    <w:p w:rsidR="00FF25FA" w:rsidRPr="00173449" w:rsidRDefault="00FF25FA" w:rsidP="00173449">
      <w:pPr>
        <w:suppressAutoHyphens/>
        <w:spacing w:line="276" w:lineRule="auto"/>
        <w:ind w:firstLine="709"/>
        <w:jc w:val="both"/>
        <w:rPr>
          <w:rFonts w:ascii="Palatino Linotype" w:hAnsi="Palatino Linotype" w:cs="Verdana"/>
          <w:sz w:val="24"/>
          <w:szCs w:val="24"/>
          <w:lang w:eastAsia="ar-SA"/>
        </w:rPr>
      </w:pP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Atendimento ambulatorial de urgência e emergência;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Plantão médico;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Serviços de enfermagem;</w:t>
      </w:r>
      <w:r w:rsidR="008D1F2C" w:rsidRPr="00173449">
        <w:rPr>
          <w:rFonts w:ascii="Palatino Linotype" w:hAnsi="Palatino Linotype" w:cs="Verdana"/>
          <w:sz w:val="24"/>
          <w:szCs w:val="24"/>
          <w:lang w:eastAsia="ar-SA"/>
        </w:rPr>
        <w:t>m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Nutrição;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Serviços administrativos;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Especialidade em ginecologia;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Especialidade em urologia;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Consultas em psiquiatria;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Consulta em cardiologia;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Especialidade em Pediatria;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Serviço de Ultrassonografia;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 xml:space="preserve">Serviço de farmácia; 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Serviço de transporte de pacientes – UTI MÓVEL – em casos de indisponibilidade da UTI municipal;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Medicamentos conforme legislação vigente Portaria/MS 2048 de 05 de novembro de 2002, que dispõe sobre os medicamentos/insumos obrigatórios no serviço de urgência e emergência e demais que se fizerem necessários, conforme prescrição médica.</w:t>
      </w:r>
    </w:p>
    <w:p w:rsidR="00FF25FA" w:rsidRPr="00173449" w:rsidRDefault="00FF25FA" w:rsidP="00173449">
      <w:pPr>
        <w:numPr>
          <w:ilvl w:val="0"/>
          <w:numId w:val="1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/>
          <w:color w:val="000000"/>
          <w:sz w:val="24"/>
          <w:szCs w:val="24"/>
          <w:lang w:eastAsia="ar-SA"/>
        </w:rPr>
        <w:lastRenderedPageBreak/>
        <w:t>Insumos (seringas, agulhas, fita crepe, atadura, esparadrapo, micropore, cateter de ponta rígida, cateter de ponta flexível, luvas de procedimento, luva estéril, gazes, cateter vesical de alívio e de demora, papel grau cirúrgico, sonda de aspiração, equipo, algodão, sonda gástrica, tubo endotraqueal).</w:t>
      </w:r>
    </w:p>
    <w:p w:rsidR="00FF25FA" w:rsidRPr="00173449" w:rsidRDefault="00FF25FA" w:rsidP="0017344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Serviços Radiológicos contemplando: 02 técnicos de radiologia, insumos, impressões, e quaisquer despesas acessórias à sua realização (com exceção do médico, que será cedido pela PMC), independente da quantidade de exames realizados (quantidade estimada de 100 exames/mês, podendo haver variações). Os técnicos deverão estar à disposição 08h por dia </w:t>
      </w:r>
      <w:r w:rsidRPr="00173449">
        <w:rPr>
          <w:rFonts w:ascii="Palatino Linotype" w:hAnsi="Palatino Linotype"/>
          <w:i/>
          <w:sz w:val="24"/>
          <w:szCs w:val="24"/>
        </w:rPr>
        <w:t>in loco</w:t>
      </w:r>
      <w:r w:rsidRPr="00173449">
        <w:rPr>
          <w:rFonts w:ascii="Palatino Linotype" w:hAnsi="Palatino Linotype"/>
          <w:sz w:val="24"/>
          <w:szCs w:val="24"/>
        </w:rPr>
        <w:t>;</w:t>
      </w:r>
    </w:p>
    <w:p w:rsidR="00FF25FA" w:rsidRPr="00173449" w:rsidRDefault="00FF25FA" w:rsidP="00173449">
      <w:pPr>
        <w:suppressAutoHyphens/>
        <w:spacing w:line="276" w:lineRule="auto"/>
        <w:ind w:left="1429"/>
        <w:jc w:val="both"/>
        <w:rPr>
          <w:rFonts w:ascii="Palatino Linotype" w:hAnsi="Palatino Linotype" w:cs="Verdana"/>
          <w:sz w:val="24"/>
          <w:szCs w:val="24"/>
          <w:lang w:eastAsia="ar-SA"/>
        </w:rPr>
      </w:pPr>
    </w:p>
    <w:p w:rsidR="00FF25FA" w:rsidRPr="00173449" w:rsidRDefault="00FF25FA" w:rsidP="00173449">
      <w:pPr>
        <w:tabs>
          <w:tab w:val="num" w:pos="142"/>
        </w:tabs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2ª - DO PLANO DE TRABALHO</w:t>
      </w:r>
    </w:p>
    <w:p w:rsidR="00FF25FA" w:rsidRPr="00173449" w:rsidRDefault="00FF25FA" w:rsidP="00173449">
      <w:pPr>
        <w:spacing w:line="276" w:lineRule="auto"/>
        <w:ind w:firstLine="147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2.1 -</w:t>
      </w:r>
      <w:r w:rsidRPr="00173449">
        <w:rPr>
          <w:rFonts w:ascii="Palatino Linotype" w:hAnsi="Palatino Linotype"/>
          <w:sz w:val="24"/>
          <w:szCs w:val="24"/>
        </w:rPr>
        <w:t xml:space="preserve"> O detalhamento dos serviços, objetivos, metas, etapas de execução com os respectivos cronogramas, devidamente justificados para o período de vigência constam do anexo Plano de Trabalho e do Termo de Referência, que passam a fazer parte integrante deste instrumento, independentemente de transcrição.</w:t>
      </w: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3ª – DAS OBRIGAÇÕES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3.1 -</w:t>
      </w:r>
      <w:r w:rsidRPr="00173449">
        <w:rPr>
          <w:rFonts w:ascii="Palatino Linotype" w:hAnsi="Palatino Linotype"/>
          <w:sz w:val="24"/>
          <w:szCs w:val="24"/>
        </w:rPr>
        <w:t xml:space="preserve"> Para fiel cumprimento do presente convênio, as partes se obrigam:</w:t>
      </w:r>
    </w:p>
    <w:p w:rsidR="00FF25FA" w:rsidRPr="00173449" w:rsidRDefault="00FF25FA" w:rsidP="00173449">
      <w:pPr>
        <w:spacing w:line="276" w:lineRule="auto"/>
        <w:ind w:firstLine="2835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                               </w:t>
      </w:r>
    </w:p>
    <w:p w:rsidR="00FF25FA" w:rsidRPr="00173449" w:rsidRDefault="00FF25FA" w:rsidP="00173449">
      <w:pPr>
        <w:spacing w:line="276" w:lineRule="auto"/>
        <w:ind w:firstLine="1418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 xml:space="preserve">3.1.1 – A SANTA CASA </w:t>
      </w:r>
      <w:r w:rsidRPr="00173449">
        <w:rPr>
          <w:rFonts w:ascii="Palatino Linotype" w:hAnsi="Palatino Linotype"/>
          <w:sz w:val="24"/>
          <w:szCs w:val="24"/>
        </w:rPr>
        <w:t>obriga-se a: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 xml:space="preserve">3.1.1.1 - Manter, durante toda a execução do convênio, em compatibilidade com as obrigações assumidas, todas as condições de habilitação previstas neste instrumento, a saber: 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SymbolMT"/>
          <w:sz w:val="24"/>
          <w:szCs w:val="24"/>
        </w:rPr>
        <w:t xml:space="preserve">• </w:t>
      </w:r>
      <w:r w:rsidRPr="00173449">
        <w:rPr>
          <w:rFonts w:ascii="Palatino Linotype" w:hAnsi="Palatino Linotype" w:cs="Calibri"/>
          <w:sz w:val="24"/>
          <w:szCs w:val="24"/>
        </w:rPr>
        <w:t>Comprovação de cadastramento no Cadastro Nacional de Estabelecimento de Saúde;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Alvará de licença de funcionamento atualizado;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Alvará sanitário;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Inscrição municipal;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Certidões negativas de débito estadual, municipal e federal;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Contrato social, estatutos, ata das reuniões que os aprovaram;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Comprovação de cumprimento dos requisitos da filantropia se for o caso;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Comprovação de que o dirigente da empresa não possua cargo dentro do Sistema Único de Saúde;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Cédula de identidade ou carteira profissional em caso de pessoa física;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Cópia da lei que a instituiu, em caso de pessoa jurídica de direito público estatal ou autárquica,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Registro profissional específico para comprovação de capacidade técnica;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Documentos que comprovem a disponibilidade de recursos humanos, físicos e equipamentos para a realização do objeto do contrato;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Apresentação de balanço patrimonial e demonstrações contábeis do último exercício;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• Comprovação do cumprimento do art. 7º, XXXIII da Constituição Federal, que prevê os direitos dos trabalhadores.</w:t>
      </w: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3.1.1.2 - Apresentar, mensalmente, a prestação de contas dos recursos recebidos, devendo ser entregue na Secretaria Municipal de Saúde, mediante protocolo físico, até o último dia do mês subsequente ao mês em que ocorreu a prestação de serviços objeto da prestação de contas apresentada.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lastRenderedPageBreak/>
        <w:t>3.1.1.3 - Apresentar Registro do Conselho Regional de todos dos profissionais que possuem profissão regulamentada que executarão as atividades.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3.1.1.4 - Disponibilizar profissional enfermeiro (a) responsável técnico de enfermagem, Diretor Clínico e Diretor Técnico da instituição, farmácia e nutrição;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 xml:space="preserve">3.1.1.5 - </w:t>
      </w:r>
      <w:r w:rsidRPr="00173449">
        <w:rPr>
          <w:rFonts w:ascii="Palatino Linotype" w:hAnsi="Palatino Linotype"/>
          <w:kern w:val="28"/>
          <w:sz w:val="24"/>
          <w:szCs w:val="24"/>
        </w:rPr>
        <w:t>É de responsabilidade exclusiva e integral do convenente a utilização de pessoal para execução dos respectivos procedimentos, incluídos encargos trabalhistas, previdenciários, sociais, fiscais e comerciais resultantes de vínculo empregatício, cujo ônus e obrigações, em nenhuma hipótese, poderão ser transferidos para a Prefeitura Municipal de Conquista, com exceção dos profissionais cedidos pela prefeitura (motoristas das ambulâncias);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3.1.1.6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</w:t>
      </w:r>
      <w:r w:rsidR="00FF25FA" w:rsidRPr="00173449">
        <w:rPr>
          <w:rFonts w:ascii="Palatino Linotype" w:hAnsi="Palatino Linotype"/>
          <w:kern w:val="28"/>
          <w:sz w:val="24"/>
          <w:szCs w:val="24"/>
        </w:rPr>
        <w:t>A convenente responde administrativamente e civilmente por qualquer erro médico ou de enfermagem, que possa colocar em risco a integridade física e/ou moral ou a vida de qualquer paciente. As pessoas físicas respondem também criminalmente e civilmente.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3.1.1.7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Disponibilizar serviços de enfermagem externo quando acionado em situações de emergência e transporte avançado</w:t>
      </w:r>
      <w:r w:rsidR="00FF25FA" w:rsidRPr="00173449">
        <w:rPr>
          <w:rFonts w:ascii="Palatino Linotype" w:hAnsi="Palatino Linotype" w:cs="Calibri"/>
          <w:b/>
          <w:sz w:val="24"/>
          <w:szCs w:val="24"/>
        </w:rPr>
        <w:t xml:space="preserve"> (enfermagem deverá acompanhar o motorista para prestar socorro externo). 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3.1.1.8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Disponibilizar local de descanso com condições sanitárias favoráveis, para os servidores (motoristas plantonistas) disponibilizados pela Prefeitura Municipal de Conquista. 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3.1.1.09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Manter atualizado alvará sanitário da instituição, que contemple a realização de todos os procedimentos descritos neste instrumento, de acordo com as normas técnico-sanitárias aplicáveis.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3.1.1.10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Sanar as irregularidades (caso existam), notificadas pela Vigilância Sanitária Estadual ou Municipal, fiscalização da Contratante ou pela Controladoria Interna do Município, com a finalidade de prestar um atendimento de qualidade.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lastRenderedPageBreak/>
        <w:t>3.1.1.11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Disponibilizar documentações necessárias, quando solicitada pela fiscalização da contratante para fins de auditoria interna. 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3.1.1.12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Cumprir todas as normas municipais, estaduais e federais do SUS, incidentes sobre as atividades que compõe a prestação de serviços conveniada.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3.1.1.13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Disponibilizar transporte de urgência e emergência tipo UTI móvel na ausência da UTI móvel do município ou quando se fizer necessário.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3.1.1.14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Permitir a fiscalização, a qualquer tempo, da Secretaria Municipal de Saúde ou da Unidade de Controle Interno do Município, das suas instalações, dos serviços prestados e dos documentos técnicos, jurídicos, fiscais e contábeis que se refiram ao objeto do Convênio;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3.1.1.15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Cumprir estritamente o cronograma estabelecido no plano de trabalho, bem como as ações nele definidas, sob pena de não aprovação das contas apresentadas;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3.1.1.16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Corrigir e reparar em até 24 horas, qualquer desconformidade dos serviços ofertados com o disposto no Convênio, neste Termo de Referência ou no Plano de Trabalho, exceto se outro prazo for estabelecido pela Secretária Municipal de Saúde.</w:t>
      </w: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3.1.1.17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- Cumprir todas as demais obrigações previstas neste Convênio, e no Termo de Referência.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3.1.1.18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– Oferecer os seguintes serviços: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Cobertura de plantões médicos (24 horas por dia), todos dos dias da semana</w:t>
      </w:r>
      <w:r w:rsidR="006F0FD2" w:rsidRPr="00173449">
        <w:rPr>
          <w:rFonts w:ascii="Palatino Linotype" w:hAnsi="Palatino Linotype" w:cs="Calibri"/>
          <w:kern w:val="28"/>
          <w:sz w:val="24"/>
          <w:szCs w:val="24"/>
        </w:rPr>
        <w:t>, no mínimo 01 médico por plantão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Serviço de enfermagem: 24 horas, todos os dias da semana, para área assistencial (jornada 12x36) e serviços administrativos de responsabilidade técnica e CCIH (Comissão de Controle de Infecção Hospitalar) e segurança do paciente (enfermeiro 40 horas semanais; 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lastRenderedPageBreak/>
        <w:t>Serviço de enfermagem (técnicos de enfermagem) 24 horas, jornada 12x36, (o serviço de enfermagem deverá acompanhar o motorista em chamadas externas);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Nutricionista (15 horas semanais);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Serviços administrativos (período de 8 horas/dia)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 de Recepção (17 horas/dias, período entre as 6h00min às 23h45min)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Serviços gerais (cozinha/limpeza/lavanderia) – jornada 12x36;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Serviços de farmácia (8 horas/dia – de segunda a sábado), </w:t>
      </w:r>
      <w:r w:rsidRPr="00173449">
        <w:rPr>
          <w:rFonts w:ascii="Palatino Linotype" w:hAnsi="Palatino Linotype"/>
          <w:color w:val="000000"/>
          <w:sz w:val="24"/>
          <w:szCs w:val="24"/>
        </w:rPr>
        <w:t xml:space="preserve">devendo manter abastecidos os postos de enfermagem e sala de urgência para atendimento 24h por dia, todos os dias da semana;  </w:t>
      </w:r>
    </w:p>
    <w:p w:rsidR="00173449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Serviços de execução de exames de ultrassonografia e insumos; realizar até 50 ultrassons/mês. Agendamento será realizado na Secretaria de Saúde, no setor de regulação.</w:t>
      </w:r>
    </w:p>
    <w:p w:rsidR="00173449" w:rsidRPr="00173449" w:rsidRDefault="00FF25FA" w:rsidP="00173449">
      <w:pPr>
        <w:numPr>
          <w:ilvl w:val="0"/>
          <w:numId w:val="2"/>
        </w:numPr>
        <w:suppressAutoHyphens/>
        <w:spacing w:line="276" w:lineRule="auto"/>
        <w:ind w:left="1418" w:hanging="284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Consultas</w:t>
      </w:r>
      <w:r w:rsidR="00173449">
        <w:rPr>
          <w:rFonts w:ascii="Palatino Linotype" w:hAnsi="Palatino Linotype" w:cs="Calibri"/>
          <w:kern w:val="28"/>
          <w:sz w:val="24"/>
          <w:szCs w:val="24"/>
        </w:rPr>
        <w:t xml:space="preserve"> em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</w:t>
      </w:r>
      <w:r w:rsidR="00173449" w:rsidRPr="00173449">
        <w:rPr>
          <w:rFonts w:ascii="Palatino Linotype" w:hAnsi="Palatino Linotype" w:cs="Calibri"/>
          <w:b/>
          <w:color w:val="000000"/>
          <w:sz w:val="24"/>
          <w:szCs w:val="24"/>
        </w:rPr>
        <w:t>Urologia</w:t>
      </w:r>
      <w:r w:rsidR="00173449" w:rsidRPr="00173449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="00173449" w:rsidRPr="00173449">
        <w:rPr>
          <w:rFonts w:ascii="Palatino Linotype" w:hAnsi="Palatino Linotype" w:cs="Calibri"/>
          <w:b/>
          <w:color w:val="000000"/>
          <w:sz w:val="24"/>
          <w:szCs w:val="24"/>
        </w:rPr>
        <w:t>(</w:t>
      </w:r>
      <w:r w:rsidR="00173449" w:rsidRPr="00173449">
        <w:rPr>
          <w:rFonts w:ascii="Palatino Linotype" w:hAnsi="Palatino Linotype" w:cs="Calibri"/>
          <w:kern w:val="28"/>
          <w:sz w:val="24"/>
          <w:szCs w:val="24"/>
        </w:rPr>
        <w:t>1 vez na semana, na quantidade de</w:t>
      </w:r>
      <w:r w:rsidR="00173449" w:rsidRPr="00173449">
        <w:rPr>
          <w:rFonts w:ascii="Palatino Linotype" w:hAnsi="Palatino Linotype" w:cs="Calibri"/>
          <w:b/>
          <w:color w:val="000000"/>
          <w:sz w:val="24"/>
          <w:szCs w:val="24"/>
        </w:rPr>
        <w:t xml:space="preserve"> 12 consultas/dia)</w:t>
      </w:r>
      <w:r w:rsidR="00173449" w:rsidRPr="00173449">
        <w:rPr>
          <w:rFonts w:ascii="Palatino Linotype" w:hAnsi="Palatino Linotype" w:cs="Calibri"/>
          <w:color w:val="000000"/>
          <w:sz w:val="24"/>
          <w:szCs w:val="24"/>
        </w:rPr>
        <w:t xml:space="preserve"> totalizando 48 consultas/mês, além de ultrassons relacionados à urologia, que deverão ser realizados por médico especialista na área e serão previamente agendadas.</w:t>
      </w:r>
    </w:p>
    <w:p w:rsidR="00173449" w:rsidRPr="00173449" w:rsidRDefault="00173449" w:rsidP="00173449">
      <w:pPr>
        <w:autoSpaceDE w:val="0"/>
        <w:autoSpaceDN w:val="0"/>
        <w:adjustRightInd w:val="0"/>
        <w:spacing w:line="276" w:lineRule="auto"/>
        <w:ind w:left="1429" w:hanging="11"/>
        <w:jc w:val="both"/>
        <w:rPr>
          <w:rFonts w:ascii="Palatino Linotype" w:hAnsi="Palatino Linotype" w:cs="Calibri"/>
          <w:color w:val="000000"/>
          <w:sz w:val="24"/>
          <w:szCs w:val="24"/>
        </w:rPr>
      </w:pPr>
      <w:r w:rsidRPr="00173449">
        <w:rPr>
          <w:rFonts w:ascii="Palatino Linotype" w:hAnsi="Palatino Linotype" w:cs="Calibri"/>
          <w:color w:val="000000"/>
          <w:sz w:val="24"/>
          <w:szCs w:val="24"/>
        </w:rPr>
        <w:t>No mês que houver 05 semanas, implicará em 60 consultas. Dessa forma, o profissional poderá, posteriormente, compensar os atendimentos excedentes em forma de folgas, conforme sua necessidade para tratar de assuntos pessoais.</w:t>
      </w:r>
    </w:p>
    <w:p w:rsidR="00173449" w:rsidRPr="00173449" w:rsidRDefault="00173449" w:rsidP="00173449">
      <w:pPr>
        <w:autoSpaceDE w:val="0"/>
        <w:autoSpaceDN w:val="0"/>
        <w:adjustRightInd w:val="0"/>
        <w:spacing w:line="276" w:lineRule="auto"/>
        <w:ind w:left="1429" w:hanging="1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 xml:space="preserve">O agendamento será realizado na Secretaria Municipal de Saúde no setor de regulação; </w:t>
      </w:r>
      <w:r w:rsidRPr="00173449">
        <w:rPr>
          <w:rFonts w:ascii="Palatino Linotype" w:hAnsi="Palatino Linotype" w:cs="Calibri"/>
          <w:color w:val="000000"/>
          <w:sz w:val="24"/>
          <w:szCs w:val="24"/>
        </w:rPr>
        <w:t>O exame deverá ser realizado no município de Conquista, na Unidade de Saúde Antonio Baltazar da Silva.</w:t>
      </w:r>
    </w:p>
    <w:p w:rsidR="00173449" w:rsidRPr="00173449" w:rsidRDefault="00173449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em </w:t>
      </w:r>
      <w:r w:rsidRPr="00173449">
        <w:rPr>
          <w:rFonts w:ascii="Palatino Linotype" w:hAnsi="Palatino Linotype" w:cs="Calibri"/>
          <w:b/>
          <w:kern w:val="28"/>
          <w:sz w:val="24"/>
          <w:szCs w:val="24"/>
        </w:rPr>
        <w:t>ginecologia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: 1 vez na semana, na quantidade de 24 consultas por dia, dividido da seguinte forma</w:t>
      </w:r>
      <w:r>
        <w:rPr>
          <w:rFonts w:ascii="Palatino Linotype" w:hAnsi="Palatino Linotype" w:cs="Calibri"/>
          <w:kern w:val="28"/>
          <w:sz w:val="24"/>
          <w:szCs w:val="24"/>
        </w:rPr>
        <w:t>: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12 consultas por unidade de saúde</w:t>
      </w:r>
      <w:r>
        <w:rPr>
          <w:rFonts w:ascii="Palatino Linotype" w:hAnsi="Palatino Linotype" w:cs="Calibri"/>
          <w:kern w:val="28"/>
          <w:sz w:val="24"/>
          <w:szCs w:val="24"/>
        </w:rPr>
        <w:t>.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</w:t>
      </w:r>
      <w:r w:rsidRPr="00173449">
        <w:rPr>
          <w:rFonts w:ascii="Palatino Linotype" w:hAnsi="Palatino Linotype"/>
          <w:color w:val="000000"/>
          <w:sz w:val="24"/>
          <w:szCs w:val="24"/>
        </w:rPr>
        <w:t>O agendamento será rea</w:t>
      </w:r>
      <w:r>
        <w:rPr>
          <w:rFonts w:ascii="Palatino Linotype" w:hAnsi="Palatino Linotype"/>
          <w:color w:val="000000"/>
          <w:sz w:val="24"/>
          <w:szCs w:val="24"/>
        </w:rPr>
        <w:t xml:space="preserve">lizado na recepção de cada ESF, além de </w:t>
      </w:r>
      <w:r w:rsidRPr="00173449">
        <w:rPr>
          <w:rFonts w:ascii="Palatino Linotype" w:hAnsi="Palatino Linotype"/>
          <w:color w:val="000000"/>
          <w:sz w:val="24"/>
          <w:szCs w:val="24"/>
        </w:rPr>
        <w:t>50 ultrassons de ginecologia/obstetrícia e mama.</w:t>
      </w:r>
    </w:p>
    <w:p w:rsidR="00173449" w:rsidRPr="00173449" w:rsidRDefault="00173449" w:rsidP="00173449">
      <w:pPr>
        <w:pStyle w:val="PargrafodaLista"/>
        <w:autoSpaceDE w:val="0"/>
        <w:autoSpaceDN w:val="0"/>
        <w:adjustRightInd w:val="0"/>
        <w:spacing w:line="276" w:lineRule="auto"/>
        <w:ind w:left="1429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73449">
        <w:rPr>
          <w:rFonts w:ascii="Palatino Linotype" w:hAnsi="Palatino Linotype"/>
          <w:color w:val="000000"/>
          <w:sz w:val="24"/>
          <w:szCs w:val="24"/>
        </w:rPr>
        <w:lastRenderedPageBreak/>
        <w:t xml:space="preserve">O exame deverá ser realizado no município de Conquista, na Unidade de Saúde Antonio Baltazar da Silva. </w:t>
      </w:r>
    </w:p>
    <w:p w:rsidR="003436D0" w:rsidRDefault="00173449" w:rsidP="00173449">
      <w:pPr>
        <w:pStyle w:val="PargrafodaLista"/>
        <w:autoSpaceDE w:val="0"/>
        <w:autoSpaceDN w:val="0"/>
        <w:adjustRightInd w:val="0"/>
        <w:spacing w:line="276" w:lineRule="auto"/>
        <w:ind w:left="1429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73449">
        <w:rPr>
          <w:rFonts w:ascii="Palatino Linotype" w:hAnsi="Palatino Linotype"/>
          <w:color w:val="000000"/>
          <w:sz w:val="24"/>
          <w:szCs w:val="24"/>
        </w:rPr>
        <w:t>O ambulatório de consultas poderá ser substituído uma vez por mês, por um ambulatório de planejamento familiar e/ou educação permanente nas escolas de ensino médio e fundamental, totalizando apenas 03 atividades por ano.</w:t>
      </w:r>
    </w:p>
    <w:p w:rsidR="00173449" w:rsidRPr="00173449" w:rsidRDefault="00173449" w:rsidP="00173449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Palatino Linotype" w:hAnsi="Palatino Linotype" w:cs="Calibri"/>
          <w:color w:val="000000"/>
          <w:sz w:val="24"/>
          <w:szCs w:val="24"/>
        </w:rPr>
      </w:pPr>
      <w:r w:rsidRPr="00173449">
        <w:rPr>
          <w:rFonts w:ascii="Palatino Linotype" w:hAnsi="Palatino Linotype" w:cs="Calibri"/>
          <w:color w:val="000000"/>
          <w:sz w:val="24"/>
          <w:szCs w:val="24"/>
        </w:rPr>
        <w:t>No mês que houver 05 semanas, implicará em 120 consultas. Dessa forma, o profissional poderá, posteriormente, compensar os atendimentos excedentes em forma de folgas, conforme sua necessidade para tratar de assuntos pessoais.</w:t>
      </w:r>
    </w:p>
    <w:p w:rsidR="00FF25FA" w:rsidRPr="00557E04" w:rsidRDefault="00FF25FA" w:rsidP="00557E04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de </w:t>
      </w:r>
      <w:r w:rsidRPr="00557E04">
        <w:rPr>
          <w:rFonts w:ascii="Palatino Linotype" w:hAnsi="Palatino Linotype" w:cs="Calibri"/>
          <w:b/>
          <w:kern w:val="28"/>
          <w:sz w:val="24"/>
          <w:szCs w:val="24"/>
        </w:rPr>
        <w:t>psiquiatria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(com médico residente em psiquiatria ou pós-graduado em p</w:t>
      </w:r>
      <w:r w:rsidR="000F0549" w:rsidRPr="00173449">
        <w:rPr>
          <w:rFonts w:ascii="Palatino Linotype" w:hAnsi="Palatino Linotype" w:cs="Calibri"/>
          <w:kern w:val="28"/>
          <w:sz w:val="24"/>
          <w:szCs w:val="24"/>
        </w:rPr>
        <w:t>siquiatria): 12 consultas semanais,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o atendimento será uma vez por semana, sendo 3x para a realização de consultas na Santa Casa de Misericórdia, e uma vez ao mês</w:t>
      </w:r>
      <w:r w:rsidR="000F0549" w:rsidRPr="00173449">
        <w:rPr>
          <w:rFonts w:ascii="Palatino Linotype" w:hAnsi="Palatino Linotype" w:cs="Calibri"/>
          <w:kern w:val="28"/>
          <w:sz w:val="24"/>
          <w:szCs w:val="24"/>
        </w:rPr>
        <w:t xml:space="preserve"> nas unidades de saúde,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para interação com a equipe das unidades de </w:t>
      </w:r>
      <w:r w:rsidRPr="00557E04">
        <w:rPr>
          <w:rFonts w:ascii="Palatino Linotype" w:hAnsi="Palatino Linotype" w:cs="Calibri"/>
          <w:kern w:val="28"/>
          <w:sz w:val="24"/>
          <w:szCs w:val="24"/>
        </w:rPr>
        <w:t xml:space="preserve">saúde do município; </w:t>
      </w:r>
    </w:p>
    <w:p w:rsidR="00557E04" w:rsidRPr="00557E04" w:rsidRDefault="00557E04" w:rsidP="00557E04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Palatino Linotype" w:hAnsi="Palatino Linotype" w:cs="Calibri"/>
          <w:color w:val="000000"/>
          <w:sz w:val="24"/>
          <w:szCs w:val="24"/>
        </w:rPr>
      </w:pPr>
      <w:r w:rsidRPr="00557E04">
        <w:rPr>
          <w:rFonts w:ascii="Palatino Linotype" w:hAnsi="Palatino Linotype" w:cs="Calibri"/>
          <w:color w:val="000000"/>
          <w:sz w:val="24"/>
          <w:szCs w:val="24"/>
        </w:rPr>
        <w:t>No mês que houver 05 semanas, implicará em 60 consultas. Dessa forma, o profissional poderá, posteriormente, compensar os atendimentos excedentes em forma de folgas, conforme sua necessidade para tratar de assuntos pessoais.</w:t>
      </w:r>
    </w:p>
    <w:p w:rsidR="00FF25FA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em </w:t>
      </w:r>
      <w:r w:rsidRPr="00557E04">
        <w:rPr>
          <w:rFonts w:ascii="Palatino Linotype" w:hAnsi="Palatino Linotype" w:cs="Calibri"/>
          <w:b/>
          <w:kern w:val="28"/>
          <w:sz w:val="24"/>
          <w:szCs w:val="24"/>
        </w:rPr>
        <w:t>cardiologia: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1 vez na semana, na quantidade de 12 consultas por dia; o agendamento será na Secretaria Municipal de Saúde, no setor de regulação;</w:t>
      </w:r>
    </w:p>
    <w:p w:rsidR="00557E04" w:rsidRPr="00557E04" w:rsidRDefault="00557E04" w:rsidP="00557E04">
      <w:pPr>
        <w:pStyle w:val="PargrafodaLista"/>
        <w:autoSpaceDE w:val="0"/>
        <w:autoSpaceDN w:val="0"/>
        <w:adjustRightInd w:val="0"/>
        <w:spacing w:line="276" w:lineRule="auto"/>
        <w:ind w:left="1429"/>
        <w:jc w:val="both"/>
        <w:rPr>
          <w:rFonts w:ascii="Palatino Linotype" w:hAnsi="Palatino Linotype" w:cs="Calibri"/>
          <w:color w:val="000000"/>
          <w:sz w:val="24"/>
          <w:szCs w:val="24"/>
        </w:rPr>
      </w:pPr>
      <w:r w:rsidRPr="00557E04">
        <w:rPr>
          <w:rFonts w:ascii="Palatino Linotype" w:hAnsi="Palatino Linotype" w:cs="Calibri"/>
          <w:color w:val="000000"/>
          <w:sz w:val="24"/>
          <w:szCs w:val="24"/>
        </w:rPr>
        <w:t>No mês que houver 05 semanas, implicará em 60 consultas. Dessa forma, o profissional poderá, posteriormente, compensar os atendimentos excedentes em forma de folgas, conforme sua necessidade para tratar de assuntos pessoais.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em </w:t>
      </w:r>
      <w:r w:rsidRPr="00E32EA6">
        <w:rPr>
          <w:rFonts w:ascii="Palatino Linotype" w:hAnsi="Palatino Linotype" w:cs="Calibri"/>
          <w:b/>
          <w:kern w:val="28"/>
          <w:sz w:val="24"/>
          <w:szCs w:val="24"/>
        </w:rPr>
        <w:t>pediatria: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1 vez na semana (man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t>hã e tarde), na quantidade de 30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consultas por dia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t>, da seguinte forma: 12 consultas para cada unidade de saúde,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e mais 03 emergenciais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t xml:space="preserve"> por 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lastRenderedPageBreak/>
        <w:t>unidade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; o 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t>agendamento será via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Secreta</w:t>
      </w:r>
      <w:r w:rsidR="006E0718" w:rsidRPr="00173449">
        <w:rPr>
          <w:rFonts w:ascii="Palatino Linotype" w:hAnsi="Palatino Linotype" w:cs="Calibri"/>
          <w:kern w:val="28"/>
          <w:sz w:val="24"/>
          <w:szCs w:val="24"/>
        </w:rPr>
        <w:t>ria Municipal de Saúde, na recepção das ESF´s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 de transporte de pacientes – UTI MÓVEL – em casos de indisponibilidade da UTI MUNICIPAL.</w:t>
      </w:r>
    </w:p>
    <w:p w:rsidR="006E0718" w:rsidRPr="00173449" w:rsidRDefault="006E0718" w:rsidP="0017344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Serviços Radiológicos contemplando: 02 técnicos de radiologia, insumos, impressões, e quaisquer despesas acessórias à sua realização (com exceção do médico, que será cedido pela PMC), independente da quantidade de exames realizados (quantidade estimada de 100 exames/mês, podendo haver variações). Os técnicos deverão estar à disposição 08h por dia </w:t>
      </w:r>
      <w:r w:rsidRPr="00173449">
        <w:rPr>
          <w:rFonts w:ascii="Palatino Linotype" w:hAnsi="Palatino Linotype"/>
          <w:i/>
          <w:sz w:val="24"/>
          <w:szCs w:val="24"/>
        </w:rPr>
        <w:t>in loco</w:t>
      </w:r>
      <w:r w:rsidRPr="00173449">
        <w:rPr>
          <w:rFonts w:ascii="Palatino Linotype" w:hAnsi="Palatino Linotype"/>
          <w:sz w:val="24"/>
          <w:szCs w:val="24"/>
        </w:rPr>
        <w:t>;</w:t>
      </w:r>
    </w:p>
    <w:p w:rsidR="00FF25FA" w:rsidRPr="00173449" w:rsidRDefault="00FF25FA" w:rsidP="00173449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 w:rsidRPr="00173449">
        <w:rPr>
          <w:rFonts w:ascii="Palatino Linotype" w:hAnsi="Palatino Linotype" w:cs="Verdana"/>
          <w:sz w:val="24"/>
          <w:szCs w:val="24"/>
          <w:lang w:eastAsia="ar-SA"/>
        </w:rPr>
        <w:t>Medicamentos conforme legislação vigente Portaria/MS 2048 de 05 de novembro de 2002, que dispõe sobre os medicamentos obrigatórios no serviço de urgência e emergência e demais que se fizerem necessários, conforme prescrição médica.</w:t>
      </w:r>
    </w:p>
    <w:p w:rsidR="006E0718" w:rsidRPr="00173449" w:rsidRDefault="006E0718" w:rsidP="00173449">
      <w:pPr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73449">
        <w:rPr>
          <w:rFonts w:ascii="Palatino Linotype" w:hAnsi="Palatino Linotype"/>
          <w:color w:val="000000"/>
          <w:sz w:val="24"/>
          <w:szCs w:val="24"/>
          <w:lang w:eastAsia="ar-SA"/>
        </w:rPr>
        <w:t>Insumos (seringas, agulhas, fita crepe, atadura, esparadrapo, micropore, cateter de ponta rígida, cateter de ponta flexível, luvas de procedimento, luva estéril, gazes, cateter vesical de alívio e de demora, papel grau cirúrgico, sonda de aspiração, equipo, algodão, sonda gástrica, tubo endotraqueal).</w:t>
      </w:r>
    </w:p>
    <w:p w:rsidR="00FF25FA" w:rsidRPr="00173449" w:rsidRDefault="00FF25FA" w:rsidP="00173449">
      <w:p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</w:p>
    <w:p w:rsidR="00FF25FA" w:rsidRPr="00173449" w:rsidRDefault="00FF25FA" w:rsidP="00173449">
      <w:pPr>
        <w:suppressAutoHyphens/>
        <w:spacing w:line="276" w:lineRule="auto"/>
        <w:ind w:firstLine="1418"/>
        <w:jc w:val="both"/>
        <w:rPr>
          <w:rFonts w:ascii="Palatino Linotype" w:hAnsi="Palatino Linotype" w:cs="Calibri"/>
          <w:kern w:val="28"/>
          <w:sz w:val="24"/>
          <w:szCs w:val="24"/>
        </w:rPr>
      </w:pPr>
    </w:p>
    <w:p w:rsidR="00FF25FA" w:rsidRPr="00173449" w:rsidRDefault="005311D2" w:rsidP="00173449">
      <w:pPr>
        <w:spacing w:line="276" w:lineRule="auto"/>
        <w:ind w:firstLine="1701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3.1.1.19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– </w:t>
      </w:r>
      <w:r w:rsidR="00FF25FA" w:rsidRPr="00173449">
        <w:rPr>
          <w:rFonts w:ascii="Palatino Linotype" w:hAnsi="Palatino Linotype"/>
          <w:sz w:val="24"/>
          <w:szCs w:val="24"/>
        </w:rPr>
        <w:t>Possuir os seguintes profissionais, de forma a concretizar os serviços objeto do presente convênio: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 w:cs="Calibri"/>
          <w:b/>
          <w:sz w:val="24"/>
          <w:szCs w:val="24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1569"/>
      </w:tblGrid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Profissionais Necessários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Quantidade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Nutricionista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Médico ginecologista 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Médicos generalistas para plantões</w:t>
            </w:r>
            <w:r w:rsidR="006F0FD2" w:rsidRPr="00173449">
              <w:rPr>
                <w:rFonts w:ascii="Palatino Linotype" w:hAnsi="Palatino Linotype" w:cs="Calibri"/>
                <w:sz w:val="24"/>
                <w:szCs w:val="24"/>
              </w:rPr>
              <w:t xml:space="preserve"> 24h</w:t>
            </w:r>
          </w:p>
        </w:tc>
        <w:tc>
          <w:tcPr>
            <w:tcW w:w="1560" w:type="dxa"/>
          </w:tcPr>
          <w:p w:rsidR="00FF25FA" w:rsidRPr="00173449" w:rsidRDefault="006F0FD2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Mínimo 01</w:t>
            </w:r>
            <w:r w:rsidR="00B61FB7" w:rsidRPr="00173449">
              <w:rPr>
                <w:rFonts w:ascii="Palatino Linotype" w:hAnsi="Palatino Linotype" w:cs="Calibri"/>
                <w:sz w:val="24"/>
                <w:szCs w:val="24"/>
              </w:rPr>
              <w:t xml:space="preserve"> por plantão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6E0718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Médico psiquiatra </w:t>
            </w:r>
            <w:r w:rsidR="00FF25FA" w:rsidRPr="00173449">
              <w:rPr>
                <w:rFonts w:ascii="Palatino Linotype" w:hAnsi="Palatino Linotype" w:cs="Calibri"/>
                <w:sz w:val="24"/>
                <w:szCs w:val="24"/>
              </w:rPr>
              <w:t>e/ou pós graduado em psiquiatria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lastRenderedPageBreak/>
              <w:t>Médico cardiologista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urologista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pediatra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Auxiliar administrativos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04</w:t>
            </w:r>
          </w:p>
        </w:tc>
      </w:tr>
      <w:tr w:rsidR="00FF25FA" w:rsidRPr="00173449" w:rsidTr="005A2336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Enfermeiros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FF25FA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Recepcionistas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03</w:t>
            </w:r>
          </w:p>
        </w:tc>
      </w:tr>
      <w:tr w:rsidR="00FF25FA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Exames de ultrassonografia </w:t>
            </w:r>
          </w:p>
        </w:tc>
        <w:tc>
          <w:tcPr>
            <w:tcW w:w="1560" w:type="dxa"/>
          </w:tcPr>
          <w:p w:rsidR="00FF25FA" w:rsidRPr="00173449" w:rsidRDefault="006E0718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Até 5</w:t>
            </w:r>
            <w:r w:rsidR="00FF25FA" w:rsidRPr="00173449">
              <w:rPr>
                <w:rFonts w:ascii="Palatino Linotype" w:hAnsi="Palatino Linotype" w:cs="Calibri"/>
                <w:sz w:val="24"/>
                <w:szCs w:val="24"/>
              </w:rPr>
              <w:t>0/mês</w:t>
            </w:r>
          </w:p>
        </w:tc>
      </w:tr>
      <w:tr w:rsidR="00FF25FA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Técnico de Enfermagem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09</w:t>
            </w:r>
          </w:p>
        </w:tc>
      </w:tr>
      <w:tr w:rsidR="00FF25FA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Serviços gerais /apoio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FF25FA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Farmacêutico</w:t>
            </w:r>
          </w:p>
        </w:tc>
        <w:tc>
          <w:tcPr>
            <w:tcW w:w="1560" w:type="dxa"/>
          </w:tcPr>
          <w:p w:rsidR="00FF25FA" w:rsidRPr="00173449" w:rsidRDefault="00FF25FA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6E0718" w:rsidRPr="00173449" w:rsidTr="005A2336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6E0718" w:rsidRPr="00173449" w:rsidRDefault="006E0718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Serviços radiológicos (2 técnicos de radiologia; insumos;impressões).</w:t>
            </w:r>
          </w:p>
        </w:tc>
        <w:tc>
          <w:tcPr>
            <w:tcW w:w="1560" w:type="dxa"/>
          </w:tcPr>
          <w:p w:rsidR="006E0718" w:rsidRPr="00173449" w:rsidRDefault="006E0718" w:rsidP="0017344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Estimativa de 100 exames/mês.</w:t>
            </w:r>
          </w:p>
        </w:tc>
      </w:tr>
    </w:tbl>
    <w:p w:rsidR="00FF25FA" w:rsidRPr="00173449" w:rsidRDefault="00FF25FA" w:rsidP="00173449">
      <w:pPr>
        <w:suppressAutoHyphens/>
        <w:spacing w:line="276" w:lineRule="auto"/>
        <w:ind w:firstLine="1134"/>
        <w:jc w:val="both"/>
        <w:rPr>
          <w:rFonts w:ascii="Palatino Linotype" w:hAnsi="Palatino Linotype" w:cs="Calibri"/>
          <w:b/>
          <w:kern w:val="28"/>
          <w:sz w:val="24"/>
          <w:szCs w:val="24"/>
        </w:rPr>
      </w:pPr>
    </w:p>
    <w:p w:rsidR="00FF25FA" w:rsidRPr="00173449" w:rsidRDefault="005311D2" w:rsidP="00173449">
      <w:pPr>
        <w:spacing w:line="276" w:lineRule="auto"/>
        <w:ind w:firstLine="1418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3.1.1.20</w:t>
      </w:r>
      <w:r w:rsidR="00FF25FA" w:rsidRPr="00173449">
        <w:rPr>
          <w:rFonts w:ascii="Palatino Linotype" w:hAnsi="Palatino Linotype" w:cs="Calibri"/>
          <w:sz w:val="24"/>
          <w:szCs w:val="24"/>
        </w:rPr>
        <w:t xml:space="preserve"> – Devolver eventuais recursos recebidos e não utilizados, ao final do período do presente termo</w:t>
      </w:r>
      <w:r w:rsidR="00E821BF" w:rsidRPr="00173449">
        <w:rPr>
          <w:rFonts w:ascii="Palatino Linotype" w:hAnsi="Palatino Linotype" w:cs="Calibri"/>
          <w:sz w:val="24"/>
          <w:szCs w:val="24"/>
        </w:rPr>
        <w:t>,</w:t>
      </w:r>
      <w:r w:rsidR="00B07A7F" w:rsidRPr="00173449">
        <w:rPr>
          <w:rFonts w:ascii="Palatino Linotype" w:hAnsi="Palatino Linotype" w:cs="Calibri"/>
          <w:sz w:val="24"/>
          <w:szCs w:val="24"/>
        </w:rPr>
        <w:t xml:space="preserve"> em até 05 (cinco) dias úteis após a vigência do Plano de Trabalho. </w:t>
      </w:r>
    </w:p>
    <w:p w:rsidR="006E0718" w:rsidRPr="00173449" w:rsidRDefault="006E0718" w:rsidP="00173449">
      <w:pPr>
        <w:spacing w:line="276" w:lineRule="auto"/>
        <w:ind w:firstLine="1418"/>
        <w:jc w:val="both"/>
        <w:rPr>
          <w:rFonts w:ascii="Palatino Linotype" w:hAnsi="Palatino Linotype" w:cs="Calibri"/>
          <w:sz w:val="24"/>
          <w:szCs w:val="24"/>
        </w:rPr>
      </w:pPr>
    </w:p>
    <w:p w:rsidR="006E0718" w:rsidRPr="00173449" w:rsidRDefault="005311D2" w:rsidP="00173449">
      <w:pPr>
        <w:spacing w:line="276" w:lineRule="auto"/>
        <w:ind w:firstLine="1418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3.1.1.21</w:t>
      </w:r>
      <w:r w:rsidR="006E0718" w:rsidRPr="00173449">
        <w:rPr>
          <w:rFonts w:ascii="Palatino Linotype" w:hAnsi="Palatino Linotype" w:cs="Calibri"/>
          <w:sz w:val="24"/>
          <w:szCs w:val="24"/>
        </w:rPr>
        <w:t xml:space="preserve"> </w:t>
      </w:r>
      <w:r w:rsidR="00B06022" w:rsidRPr="00173449">
        <w:rPr>
          <w:rFonts w:ascii="Palatino Linotype" w:hAnsi="Palatino Linotype" w:cs="Calibri"/>
          <w:sz w:val="24"/>
          <w:szCs w:val="24"/>
        </w:rPr>
        <w:t>–</w:t>
      </w:r>
      <w:r w:rsidR="006E0718" w:rsidRPr="00173449">
        <w:rPr>
          <w:rFonts w:ascii="Palatino Linotype" w:hAnsi="Palatino Linotype" w:cs="Calibri"/>
          <w:sz w:val="24"/>
          <w:szCs w:val="24"/>
        </w:rPr>
        <w:t xml:space="preserve"> </w:t>
      </w:r>
      <w:r w:rsidR="00B06022" w:rsidRPr="00173449">
        <w:rPr>
          <w:rFonts w:ascii="Palatino Linotype" w:hAnsi="Palatino Linotype" w:cs="Calibri"/>
          <w:sz w:val="24"/>
          <w:szCs w:val="24"/>
        </w:rPr>
        <w:t>A não realizar o pagamento de horas extras para todas as categorias, com exceção do serviço de enfermagem (técnicos e enfermeiros), limitando-se, no máximo, a 2 horas diárias, em situações de extrema necessidade comprovada (sujeito a glosar despesa).</w:t>
      </w:r>
    </w:p>
    <w:p w:rsidR="00FF25FA" w:rsidRPr="00173449" w:rsidRDefault="00FF25FA" w:rsidP="00173449">
      <w:pPr>
        <w:spacing w:line="276" w:lineRule="auto"/>
        <w:ind w:firstLine="1418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418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 xml:space="preserve">3.1.2 – O MUNICÍPIO </w:t>
      </w:r>
      <w:r w:rsidRPr="00173449">
        <w:rPr>
          <w:rFonts w:ascii="Palatino Linotype" w:hAnsi="Palatino Linotype"/>
          <w:sz w:val="24"/>
          <w:szCs w:val="24"/>
        </w:rPr>
        <w:t>obriga-se a:</w:t>
      </w:r>
    </w:p>
    <w:p w:rsidR="00FF25FA" w:rsidRPr="00173449" w:rsidRDefault="00FF25FA" w:rsidP="00173449">
      <w:pPr>
        <w:spacing w:line="276" w:lineRule="auto"/>
        <w:ind w:firstLine="1418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3.1.2.1 - Efetuar o pagamento ao prestador de serviços, de acordo com a forma e prazo estabelecidos entre os dias 10 e 20 de cada mês;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3.1.2.2 - Prestar as informações e os esclarecimentos pertinentes ao objeto, quando solicitados pelo prestador de serviços;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color w:val="FF0000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lastRenderedPageBreak/>
        <w:t>3.1.2.3 - Fiscalizar os serviços através de fiscal designado neste termo de referência, Sra. Valdilene Rocha Costa Alves (gestora de saúde) e Silvio Arthur Daiola (gestor financeiro);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3.1.2.4 - Disponibilizar transporte de urgência e em</w:t>
      </w:r>
      <w:r w:rsidR="00B06022" w:rsidRPr="00173449">
        <w:rPr>
          <w:rFonts w:ascii="Palatino Linotype" w:hAnsi="Palatino Linotype" w:cs="Calibri"/>
          <w:sz w:val="24"/>
          <w:szCs w:val="24"/>
        </w:rPr>
        <w:t>ergência U</w:t>
      </w:r>
      <w:r w:rsidRPr="00173449">
        <w:rPr>
          <w:rFonts w:ascii="Palatino Linotype" w:hAnsi="Palatino Linotype" w:cs="Calibri"/>
          <w:sz w:val="24"/>
          <w:szCs w:val="24"/>
        </w:rPr>
        <w:t>TI móvel</w:t>
      </w:r>
      <w:r w:rsidR="00B06022" w:rsidRPr="00173449">
        <w:rPr>
          <w:rFonts w:ascii="Palatino Linotype" w:hAnsi="Palatino Linotype" w:cs="Calibri"/>
          <w:sz w:val="24"/>
          <w:szCs w:val="24"/>
        </w:rPr>
        <w:t xml:space="preserve"> – tipo B</w:t>
      </w:r>
      <w:r w:rsidRPr="00173449">
        <w:rPr>
          <w:rFonts w:ascii="Palatino Linotype" w:hAnsi="Palatino Linotype" w:cs="Calibri"/>
          <w:sz w:val="24"/>
          <w:szCs w:val="24"/>
        </w:rPr>
        <w:t>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3.1.2.5 - Disponibilizar combustível para abastecimento das ambulâncias cedidas pelo município;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3.1.2.6 - Disponibilizar servidores (motoristas) para plantão, o qual deverá permanecer na sede da contratada durante todo período do plantão, conforme escala do departamento municipal de transporte;</w:t>
      </w:r>
    </w:p>
    <w:p w:rsidR="00FF25FA" w:rsidRPr="00173449" w:rsidRDefault="00FF25FA" w:rsidP="00173449">
      <w:pPr>
        <w:spacing w:line="276" w:lineRule="auto"/>
        <w:ind w:firstLine="1701"/>
        <w:jc w:val="both"/>
        <w:rPr>
          <w:rFonts w:ascii="Palatino Linotype" w:hAnsi="Palatino Linotype" w:cs="Calibri"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>3.1.2.7 - Analisar a qualidade dos serviços prestados, podendo haver supressões/diminuições em caso de indisponibilidade financeira;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4ª – DO VALOR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FF25FA" w:rsidRPr="00173449" w:rsidRDefault="00FF25FA" w:rsidP="0017344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4.1 -</w:t>
      </w:r>
      <w:r w:rsidRPr="00173449">
        <w:rPr>
          <w:rFonts w:ascii="Palatino Linotype" w:hAnsi="Palatino Linotype"/>
          <w:sz w:val="24"/>
          <w:szCs w:val="24"/>
        </w:rPr>
        <w:t xml:space="preserve"> O </w:t>
      </w:r>
      <w:r w:rsidRPr="00173449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173449">
        <w:rPr>
          <w:rFonts w:ascii="Palatino Linotype" w:hAnsi="Palatino Linotype"/>
          <w:sz w:val="24"/>
          <w:szCs w:val="24"/>
        </w:rPr>
        <w:t xml:space="preserve">repassará o valor mensal de até </w:t>
      </w:r>
      <w:r w:rsidRPr="00173449">
        <w:rPr>
          <w:rFonts w:ascii="Palatino Linotype" w:hAnsi="Palatino Linotype"/>
          <w:b/>
          <w:sz w:val="24"/>
          <w:szCs w:val="24"/>
        </w:rPr>
        <w:t>R$</w:t>
      </w:r>
      <w:r w:rsidRPr="00173449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B75B4F" w:rsidRPr="00173449">
        <w:rPr>
          <w:rFonts w:ascii="Palatino Linotype" w:hAnsi="Palatino Linotype"/>
          <w:b/>
          <w:color w:val="000000"/>
          <w:sz w:val="24"/>
          <w:szCs w:val="24"/>
        </w:rPr>
        <w:t xml:space="preserve">165.969,19 </w:t>
      </w:r>
      <w:r w:rsidRPr="00173449">
        <w:rPr>
          <w:rFonts w:ascii="Palatino Linotype" w:hAnsi="Palatino Linotype"/>
          <w:b/>
          <w:color w:val="000000"/>
          <w:sz w:val="24"/>
          <w:szCs w:val="24"/>
        </w:rPr>
        <w:t>(cento e</w:t>
      </w:r>
      <w:r w:rsidR="00B06022" w:rsidRPr="00173449">
        <w:rPr>
          <w:rFonts w:ascii="Palatino Linotype" w:hAnsi="Palatino Linotype"/>
          <w:b/>
          <w:color w:val="000000"/>
          <w:sz w:val="24"/>
          <w:szCs w:val="24"/>
        </w:rPr>
        <w:t xml:space="preserve"> sessenta cinco mil</w:t>
      </w:r>
      <w:r w:rsidR="00B75B4F" w:rsidRPr="00173449">
        <w:rPr>
          <w:rFonts w:ascii="Palatino Linotype" w:hAnsi="Palatino Linotype"/>
          <w:b/>
          <w:color w:val="000000"/>
          <w:sz w:val="24"/>
          <w:szCs w:val="24"/>
        </w:rPr>
        <w:t>, novecentos e sessenta nove</w:t>
      </w:r>
      <w:r w:rsidR="00B06022" w:rsidRPr="00173449">
        <w:rPr>
          <w:rFonts w:ascii="Palatino Linotype" w:hAnsi="Palatino Linotype"/>
          <w:b/>
          <w:color w:val="000000"/>
          <w:sz w:val="24"/>
          <w:szCs w:val="24"/>
        </w:rPr>
        <w:t xml:space="preserve"> reais</w:t>
      </w:r>
      <w:r w:rsidR="00B75B4F" w:rsidRPr="00173449">
        <w:rPr>
          <w:rFonts w:ascii="Palatino Linotype" w:hAnsi="Palatino Linotype"/>
          <w:b/>
          <w:color w:val="000000"/>
          <w:sz w:val="24"/>
          <w:szCs w:val="24"/>
        </w:rPr>
        <w:t xml:space="preserve"> e dezenove centavos</w:t>
      </w:r>
      <w:r w:rsidRPr="00173449">
        <w:rPr>
          <w:rFonts w:ascii="Palatino Linotype" w:hAnsi="Palatino Linotype"/>
          <w:b/>
          <w:color w:val="000000"/>
          <w:sz w:val="24"/>
          <w:szCs w:val="24"/>
        </w:rPr>
        <w:t>)</w:t>
      </w:r>
      <w:r w:rsidRPr="00173449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173449">
        <w:rPr>
          <w:rFonts w:ascii="Palatino Linotype" w:hAnsi="Palatino Linotype"/>
          <w:sz w:val="24"/>
          <w:szCs w:val="24"/>
        </w:rPr>
        <w:t xml:space="preserve">entre os dias 10 e 20 de cada mês, totalizando o importe estimado de até </w:t>
      </w:r>
      <w:r w:rsidR="00B06022" w:rsidRPr="00173449">
        <w:rPr>
          <w:rFonts w:ascii="Palatino Linotype" w:hAnsi="Palatino Linotype"/>
          <w:b/>
          <w:sz w:val="24"/>
          <w:szCs w:val="24"/>
        </w:rPr>
        <w:t>R$ 1</w:t>
      </w:r>
      <w:r w:rsidR="00B75B4F" w:rsidRPr="00173449">
        <w:rPr>
          <w:rFonts w:ascii="Palatino Linotype" w:hAnsi="Palatino Linotype"/>
          <w:b/>
          <w:sz w:val="24"/>
          <w:szCs w:val="24"/>
        </w:rPr>
        <w:t>.991</w:t>
      </w:r>
      <w:r w:rsidR="00B06022" w:rsidRPr="00173449">
        <w:rPr>
          <w:rFonts w:ascii="Palatino Linotype" w:hAnsi="Palatino Linotype"/>
          <w:b/>
          <w:sz w:val="24"/>
          <w:szCs w:val="24"/>
        </w:rPr>
        <w:t>.</w:t>
      </w:r>
      <w:r w:rsidR="00B75B4F" w:rsidRPr="00173449">
        <w:rPr>
          <w:rFonts w:ascii="Palatino Linotype" w:hAnsi="Palatino Linotype"/>
          <w:b/>
          <w:sz w:val="24"/>
          <w:szCs w:val="24"/>
        </w:rPr>
        <w:t>630,28</w:t>
      </w:r>
      <w:r w:rsidRPr="00173449">
        <w:rPr>
          <w:rFonts w:ascii="Palatino Linotype" w:hAnsi="Palatino Linotype"/>
          <w:b/>
          <w:sz w:val="24"/>
          <w:szCs w:val="24"/>
        </w:rPr>
        <w:t xml:space="preserve"> (um milhão, </w:t>
      </w:r>
      <w:r w:rsidR="00B06022" w:rsidRPr="00173449">
        <w:rPr>
          <w:rFonts w:ascii="Palatino Linotype" w:hAnsi="Palatino Linotype"/>
          <w:b/>
          <w:sz w:val="24"/>
          <w:szCs w:val="24"/>
        </w:rPr>
        <w:t>novecentos e</w:t>
      </w:r>
      <w:r w:rsidR="00B75B4F" w:rsidRPr="00173449">
        <w:rPr>
          <w:rFonts w:ascii="Palatino Linotype" w:hAnsi="Palatino Linotype"/>
          <w:b/>
          <w:sz w:val="24"/>
          <w:szCs w:val="24"/>
        </w:rPr>
        <w:t xml:space="preserve"> noventa um mil, seiscentos e trinta reais e vinte oito centavos</w:t>
      </w:r>
      <w:r w:rsidR="00B06022" w:rsidRPr="00173449">
        <w:rPr>
          <w:rFonts w:ascii="Palatino Linotype" w:hAnsi="Palatino Linotype"/>
          <w:b/>
          <w:sz w:val="24"/>
          <w:szCs w:val="24"/>
        </w:rPr>
        <w:t>)</w:t>
      </w:r>
      <w:r w:rsidRPr="00173449">
        <w:rPr>
          <w:rFonts w:ascii="Palatino Linotype" w:hAnsi="Palatino Linotype"/>
          <w:b/>
          <w:sz w:val="24"/>
          <w:szCs w:val="24"/>
        </w:rPr>
        <w:t xml:space="preserve">, </w:t>
      </w:r>
      <w:r w:rsidRPr="00173449">
        <w:rPr>
          <w:rFonts w:ascii="Palatino Linotype" w:hAnsi="Palatino Linotype"/>
          <w:sz w:val="24"/>
          <w:szCs w:val="24"/>
        </w:rPr>
        <w:t xml:space="preserve">podendo ser alterado, caso necessário e conforme disponibilidade financeira. 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</w:t>
      </w: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5ª - DA PRESTAÇÃO DE CONTAS.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5.1 -</w:t>
      </w:r>
      <w:r w:rsidRPr="00173449">
        <w:rPr>
          <w:rFonts w:ascii="Palatino Linotype" w:hAnsi="Palatino Linotype"/>
          <w:sz w:val="24"/>
          <w:szCs w:val="24"/>
        </w:rPr>
        <w:t xml:space="preserve"> O Convenente deverá remeter mensalmente à Secretaria afim, a prestação de contas de gastos dos repasses, </w:t>
      </w:r>
      <w:r w:rsidRPr="00173449">
        <w:rPr>
          <w:rFonts w:ascii="Palatino Linotype" w:hAnsi="Palatino Linotype" w:cs="Calibri"/>
          <w:sz w:val="24"/>
          <w:szCs w:val="24"/>
        </w:rPr>
        <w:t>até o último dia do mês subsequente ao mês em que ocorreu a prestação de serviços objeto da prestação de contas apresentada</w:t>
      </w:r>
      <w:r w:rsidRPr="00173449">
        <w:rPr>
          <w:rFonts w:ascii="Palatino Linotype" w:hAnsi="Palatino Linotype"/>
          <w:sz w:val="24"/>
          <w:szCs w:val="24"/>
        </w:rPr>
        <w:t>;</w:t>
      </w: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lastRenderedPageBreak/>
        <w:t xml:space="preserve">5.2 – </w:t>
      </w:r>
      <w:r w:rsidRPr="00173449">
        <w:rPr>
          <w:rFonts w:ascii="Palatino Linotype" w:hAnsi="Palatino Linotype"/>
          <w:sz w:val="24"/>
          <w:szCs w:val="24"/>
        </w:rPr>
        <w:t>A prestação de contas deverá ser entregue conforme check-list anexo e já entregue à conveniada, observando os artigos 70 a 86 do Decreto Nº2474/2018.</w:t>
      </w: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5.3 -</w:t>
      </w:r>
      <w:r w:rsidRPr="00173449">
        <w:rPr>
          <w:rFonts w:ascii="Palatino Linotype" w:hAnsi="Palatino Linotype"/>
          <w:sz w:val="24"/>
          <w:szCs w:val="24"/>
        </w:rPr>
        <w:t xml:space="preserve"> Constatada irregularidades ou inadimplência na apresentação da prestação de contas a que se refere o </w:t>
      </w:r>
      <w:r w:rsidRPr="00173449">
        <w:rPr>
          <w:rFonts w:ascii="Palatino Linotype" w:hAnsi="Palatino Linotype"/>
          <w:i/>
          <w:sz w:val="24"/>
          <w:szCs w:val="24"/>
        </w:rPr>
        <w:t>caput</w:t>
      </w:r>
      <w:r w:rsidRPr="00173449">
        <w:rPr>
          <w:rFonts w:ascii="Palatino Linotype" w:hAnsi="Palatino Linotype"/>
          <w:sz w:val="24"/>
          <w:szCs w:val="24"/>
        </w:rPr>
        <w:t xml:space="preserve"> desta Cláusula, a </w:t>
      </w:r>
      <w:r w:rsidRPr="00173449">
        <w:rPr>
          <w:rFonts w:ascii="Palatino Linotype" w:hAnsi="Palatino Linotype"/>
          <w:b/>
          <w:sz w:val="24"/>
          <w:szCs w:val="24"/>
        </w:rPr>
        <w:t xml:space="preserve">SANTA CASA </w:t>
      </w:r>
      <w:r w:rsidRPr="00173449">
        <w:rPr>
          <w:rFonts w:ascii="Palatino Linotype" w:hAnsi="Palatino Linotype"/>
          <w:sz w:val="24"/>
          <w:szCs w:val="24"/>
        </w:rPr>
        <w:t>será notificada para que, no prazo de 15 (quinze) dias a contar o recebimento da notificação, adote as providências para sanar a irregularidades ou cumprir a obrigação.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                                            </w:t>
      </w: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6ª – DO PRAZO</w:t>
      </w: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sz w:val="24"/>
          <w:szCs w:val="24"/>
          <w:u w:val="single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6.1 -</w:t>
      </w:r>
      <w:r w:rsidRPr="00173449">
        <w:rPr>
          <w:rFonts w:ascii="Palatino Linotype" w:hAnsi="Palatino Linotype"/>
          <w:sz w:val="24"/>
          <w:szCs w:val="24"/>
        </w:rPr>
        <w:t xml:space="preserve"> A vigência deste convênio iniciar-se-á em </w:t>
      </w:r>
      <w:r w:rsidR="00B06022" w:rsidRPr="00173449">
        <w:rPr>
          <w:rFonts w:ascii="Palatino Linotype" w:hAnsi="Palatino Linotype"/>
          <w:b/>
          <w:sz w:val="24"/>
          <w:szCs w:val="24"/>
        </w:rPr>
        <w:t>1º de janeiro de 2019</w:t>
      </w:r>
      <w:r w:rsidRPr="00173449">
        <w:rPr>
          <w:rFonts w:ascii="Palatino Linotype" w:hAnsi="Palatino Linotype"/>
          <w:sz w:val="24"/>
          <w:szCs w:val="24"/>
        </w:rPr>
        <w:t xml:space="preserve">, encerrando-se no dia </w:t>
      </w:r>
      <w:r w:rsidRPr="00173449">
        <w:rPr>
          <w:rFonts w:ascii="Palatino Linotype" w:hAnsi="Palatino Linotype"/>
          <w:b/>
          <w:sz w:val="24"/>
          <w:szCs w:val="24"/>
        </w:rPr>
        <w:t>31 de dezembro de 201</w:t>
      </w:r>
      <w:r w:rsidR="00B06022" w:rsidRPr="00173449">
        <w:rPr>
          <w:rFonts w:ascii="Palatino Linotype" w:hAnsi="Palatino Linotype"/>
          <w:b/>
          <w:sz w:val="24"/>
          <w:szCs w:val="24"/>
        </w:rPr>
        <w:t>9</w:t>
      </w:r>
      <w:r w:rsidRPr="00173449">
        <w:rPr>
          <w:rFonts w:ascii="Palatino Linotype" w:hAnsi="Palatino Linotype"/>
          <w:sz w:val="24"/>
          <w:szCs w:val="24"/>
        </w:rPr>
        <w:t>.</w:t>
      </w: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7ª – DO RECURSO FINANCEIRO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7.1 -</w:t>
      </w:r>
      <w:r w:rsidRPr="00173449">
        <w:rPr>
          <w:rFonts w:ascii="Palatino Linotype" w:hAnsi="Palatino Linotype"/>
          <w:sz w:val="24"/>
          <w:szCs w:val="24"/>
        </w:rPr>
        <w:t xml:space="preserve"> As despesas decorrentes deste ato correrão à conta da dotação orçamentária </w:t>
      </w:r>
      <w:r w:rsidRPr="00173449">
        <w:rPr>
          <w:rFonts w:ascii="Palatino Linotype" w:hAnsi="Palatino Linotype"/>
          <w:b/>
          <w:sz w:val="24"/>
          <w:szCs w:val="24"/>
        </w:rPr>
        <w:t>nº 02.06.02.10.302.0009.2039-3.3.90.39</w:t>
      </w:r>
      <w:r w:rsidR="00B07A7F" w:rsidRPr="00173449">
        <w:rPr>
          <w:rFonts w:ascii="Palatino Linotype" w:hAnsi="Palatino Linotype"/>
          <w:b/>
          <w:sz w:val="24"/>
          <w:szCs w:val="24"/>
        </w:rPr>
        <w:t xml:space="preserve"> - Ficha: 245 – 102/102</w:t>
      </w:r>
      <w:r w:rsidRPr="00173449">
        <w:rPr>
          <w:rFonts w:ascii="Palatino Linotype" w:hAnsi="Palatino Linotype"/>
          <w:b/>
          <w:sz w:val="24"/>
          <w:szCs w:val="24"/>
        </w:rPr>
        <w:t>.</w:t>
      </w: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8ª – DA PUBLICAÇÃO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1134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 xml:space="preserve">8.1 - </w:t>
      </w:r>
      <w:r w:rsidRPr="00173449">
        <w:rPr>
          <w:rFonts w:ascii="Palatino Linotype" w:hAnsi="Palatino Linotype"/>
          <w:sz w:val="24"/>
          <w:szCs w:val="24"/>
        </w:rPr>
        <w:t xml:space="preserve">O presente convênio será publicado pelo </w:t>
      </w:r>
      <w:r w:rsidRPr="00173449">
        <w:rPr>
          <w:rFonts w:ascii="Palatino Linotype" w:hAnsi="Palatino Linotype"/>
          <w:b/>
          <w:sz w:val="24"/>
          <w:szCs w:val="24"/>
        </w:rPr>
        <w:t>MUNICÍPIO</w:t>
      </w:r>
      <w:r w:rsidRPr="00173449">
        <w:rPr>
          <w:rFonts w:ascii="Palatino Linotype" w:hAnsi="Palatino Linotype"/>
          <w:sz w:val="24"/>
          <w:szCs w:val="24"/>
        </w:rPr>
        <w:t xml:space="preserve"> nos termos da legislação vigente.</w:t>
      </w:r>
    </w:p>
    <w:p w:rsidR="00FF25FA" w:rsidRPr="00173449" w:rsidRDefault="00FF25FA" w:rsidP="00173449">
      <w:pPr>
        <w:spacing w:line="276" w:lineRule="auto"/>
        <w:ind w:firstLine="2268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sz w:val="24"/>
          <w:szCs w:val="24"/>
          <w:u w:val="single"/>
        </w:rPr>
      </w:pPr>
      <w:r w:rsidRPr="00173449">
        <w:rPr>
          <w:rFonts w:ascii="Palatino Linotype" w:hAnsi="Palatino Linotype"/>
          <w:b/>
          <w:sz w:val="24"/>
          <w:szCs w:val="24"/>
          <w:u w:val="single"/>
        </w:rPr>
        <w:t>CLÁUSULA 9ª – DO FORO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9.1 -</w:t>
      </w:r>
      <w:r w:rsidRPr="00173449">
        <w:rPr>
          <w:rFonts w:ascii="Palatino Linotype" w:hAnsi="Palatino Linotype"/>
          <w:sz w:val="24"/>
          <w:szCs w:val="24"/>
        </w:rPr>
        <w:t xml:space="preserve"> Fica eleito o foro da Comarca de Conquista - MG, para dirimir as questões oriundas deste instrumento, por ventura, surgidas no período de vigência.</w:t>
      </w:r>
    </w:p>
    <w:p w:rsidR="00FF25FA" w:rsidRPr="00173449" w:rsidRDefault="00FF25FA" w:rsidP="00173449">
      <w:pPr>
        <w:spacing w:line="276" w:lineRule="auto"/>
        <w:ind w:firstLine="993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  <w:r w:rsidRPr="00173449">
        <w:rPr>
          <w:rFonts w:ascii="Palatino Linotype" w:hAnsi="Palatino Linotype"/>
          <w:b/>
          <w:i/>
          <w:sz w:val="24"/>
          <w:szCs w:val="24"/>
        </w:rPr>
        <w:t>E por estarem justos e conveniados, assinam o presente instrumento em 03 (três) vias do mesmo teor e conteúdo e na presença de 02 (duas) testemunhas.</w:t>
      </w:r>
    </w:p>
    <w:p w:rsidR="00FF25FA" w:rsidRPr="00173449" w:rsidRDefault="00FF25FA" w:rsidP="00173449">
      <w:pPr>
        <w:spacing w:line="276" w:lineRule="auto"/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FF25FA" w:rsidRPr="00173449" w:rsidRDefault="00FF25FA" w:rsidP="00173449">
      <w:pPr>
        <w:spacing w:line="276" w:lineRule="auto"/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Conquista - MG, </w:t>
      </w:r>
      <w:r w:rsidR="0000771B" w:rsidRPr="00173449">
        <w:rPr>
          <w:rFonts w:ascii="Palatino Linotype" w:hAnsi="Palatino Linotype"/>
          <w:sz w:val="24"/>
          <w:szCs w:val="24"/>
        </w:rPr>
        <w:t>31 de Dezembro de 2018</w:t>
      </w:r>
      <w:r w:rsidR="00B06022" w:rsidRPr="00173449">
        <w:rPr>
          <w:rFonts w:ascii="Palatino Linotype" w:hAnsi="Palatino Linotype"/>
          <w:sz w:val="24"/>
          <w:szCs w:val="24"/>
        </w:rPr>
        <w:t>.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VALDILENE ROCHA C. ALVES            DAYANE CRISTINA DE ANDRADE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   Secretária Municipal de Saúde                                   Provedora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 xml:space="preserve">                                                             Santa Casa de Misericórdia de Conquista/MG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/>
          <w:b/>
          <w:sz w:val="24"/>
          <w:szCs w:val="24"/>
        </w:rPr>
        <w:t>TESTEMUNHAS:</w:t>
      </w: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FF25FA" w:rsidRPr="00173449" w:rsidRDefault="00FF25FA" w:rsidP="0017344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73449">
        <w:rPr>
          <w:rFonts w:ascii="Palatino Linotype" w:hAnsi="Palatino Linotype"/>
          <w:sz w:val="24"/>
          <w:szCs w:val="24"/>
        </w:rPr>
        <w:t>____________________________                        ______________________________</w:t>
      </w:r>
    </w:p>
    <w:p w:rsidR="00980730" w:rsidRPr="00173449" w:rsidRDefault="00980730" w:rsidP="00173449">
      <w:pPr>
        <w:spacing w:line="276" w:lineRule="auto"/>
        <w:rPr>
          <w:rFonts w:ascii="Palatino Linotype" w:hAnsi="Palatino Linotype"/>
          <w:sz w:val="24"/>
          <w:szCs w:val="24"/>
        </w:rPr>
      </w:pPr>
    </w:p>
    <w:sectPr w:rsidR="00980730" w:rsidRPr="00173449" w:rsidSect="00222D1C">
      <w:headerReference w:type="default" r:id="rId8"/>
      <w:footerReference w:type="default" r:id="rId9"/>
      <w:pgSz w:w="11907" w:h="16840" w:code="9"/>
      <w:pgMar w:top="2552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13" w:rsidRDefault="00F87E13" w:rsidP="009B47D8">
      <w:r>
        <w:separator/>
      </w:r>
    </w:p>
  </w:endnote>
  <w:endnote w:type="continuationSeparator" w:id="1">
    <w:p w:rsidR="00F87E13" w:rsidRDefault="00F87E13" w:rsidP="009B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E" w:rsidRDefault="0034023C">
    <w:pPr>
      <w:pStyle w:val="Rodap"/>
      <w:jc w:val="right"/>
    </w:pPr>
    <w:r>
      <w:fldChar w:fldCharType="begin"/>
    </w:r>
    <w:r w:rsidR="005311D2">
      <w:instrText xml:space="preserve"> PAGE   \* MERGEFORMAT </w:instrText>
    </w:r>
    <w:r>
      <w:fldChar w:fldCharType="separate"/>
    </w:r>
    <w:r w:rsidR="00E32EA6">
      <w:rPr>
        <w:noProof/>
      </w:rPr>
      <w:t>9</w:t>
    </w:r>
    <w:r>
      <w:fldChar w:fldCharType="end"/>
    </w:r>
  </w:p>
  <w:p w:rsidR="00B6174E" w:rsidRDefault="00F87E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13" w:rsidRDefault="00F87E13" w:rsidP="009B47D8">
      <w:r>
        <w:separator/>
      </w:r>
    </w:p>
  </w:footnote>
  <w:footnote w:type="continuationSeparator" w:id="1">
    <w:p w:rsidR="00F87E13" w:rsidRDefault="00F87E13" w:rsidP="009B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C2" w:rsidRDefault="005311D2" w:rsidP="00507EC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4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507EC2" w:rsidRPr="00B26434" w:rsidRDefault="005311D2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507EC2" w:rsidRPr="000D1425" w:rsidRDefault="005311D2" w:rsidP="00507EC2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507EC2" w:rsidRPr="00B26434" w:rsidRDefault="005311D2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507EC2" w:rsidRPr="00B26434" w:rsidRDefault="005311D2" w:rsidP="00507EC2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507EC2" w:rsidRPr="00B26434" w:rsidRDefault="005311D2" w:rsidP="00507EC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507EC2" w:rsidRDefault="00F87E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AD4"/>
    <w:multiLevelType w:val="hybridMultilevel"/>
    <w:tmpl w:val="386CD3F6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4C57FB"/>
    <w:multiLevelType w:val="hybridMultilevel"/>
    <w:tmpl w:val="EAFA2F0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A3D02"/>
    <w:multiLevelType w:val="hybridMultilevel"/>
    <w:tmpl w:val="840656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5FA"/>
    <w:rsid w:val="0000771B"/>
    <w:rsid w:val="00066161"/>
    <w:rsid w:val="000C789D"/>
    <w:rsid w:val="000F0549"/>
    <w:rsid w:val="00147DFC"/>
    <w:rsid w:val="00173449"/>
    <w:rsid w:val="00285339"/>
    <w:rsid w:val="002D5DA3"/>
    <w:rsid w:val="0034023C"/>
    <w:rsid w:val="003436D0"/>
    <w:rsid w:val="005311D2"/>
    <w:rsid w:val="00557E04"/>
    <w:rsid w:val="006C3481"/>
    <w:rsid w:val="006E0718"/>
    <w:rsid w:val="006F0FD2"/>
    <w:rsid w:val="008D1F2C"/>
    <w:rsid w:val="00980730"/>
    <w:rsid w:val="00982317"/>
    <w:rsid w:val="009B47D8"/>
    <w:rsid w:val="00A701AA"/>
    <w:rsid w:val="00B06022"/>
    <w:rsid w:val="00B07A7F"/>
    <w:rsid w:val="00B61FB7"/>
    <w:rsid w:val="00B75B4F"/>
    <w:rsid w:val="00BE07EC"/>
    <w:rsid w:val="00E32EA6"/>
    <w:rsid w:val="00E821BF"/>
    <w:rsid w:val="00F029E0"/>
    <w:rsid w:val="00F87E13"/>
    <w:rsid w:val="00FF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F25FA"/>
    <w:pPr>
      <w:ind w:left="2124" w:firstLine="6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25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F25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FF25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2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FF25FA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FF25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5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F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0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53D9-FE5D-4DC8-BEC8-8226715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7</cp:revision>
  <cp:lastPrinted>2019-01-30T12:23:00Z</cp:lastPrinted>
  <dcterms:created xsi:type="dcterms:W3CDTF">2019-01-30T12:23:00Z</dcterms:created>
  <dcterms:modified xsi:type="dcterms:W3CDTF">2019-02-06T17:42:00Z</dcterms:modified>
</cp:coreProperties>
</file>